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DC02C" w14:textId="7910DF2D" w:rsidR="00206FD6" w:rsidRPr="00206FD6" w:rsidRDefault="00206FD6" w:rsidP="00206FD6">
      <w:pPr>
        <w:pStyle w:val="NormalWeb"/>
        <w:rPr>
          <w:u w:val="single"/>
        </w:rPr>
      </w:pPr>
      <w:r w:rsidRPr="00206FD6">
        <w:rPr>
          <w:u w:val="single"/>
        </w:rPr>
        <w:t xml:space="preserve">IM 5 </w:t>
      </w:r>
    </w:p>
    <w:p w14:paraId="174EB26B" w14:textId="4C0A3DA4" w:rsidR="00206FD6" w:rsidRDefault="00206FD6" w:rsidP="00206FD6">
      <w:pPr>
        <w:pStyle w:val="NormalWeb"/>
      </w:pPr>
      <w:r>
        <w:t>References:</w:t>
      </w:r>
    </w:p>
    <w:p w14:paraId="04472E69" w14:textId="3F032B6D" w:rsidR="00206FD6" w:rsidRPr="00206FD6" w:rsidRDefault="00206FD6" w:rsidP="00206FD6">
      <w:pPr>
        <w:pStyle w:val="NormalWeb"/>
      </w:pPr>
      <w:r w:rsidRPr="00206FD6">
        <w:t xml:space="preserve">Hockenberry, M. &amp; Wilson, D., Rodgers, C. (2022).  </w:t>
      </w:r>
      <w:r w:rsidRPr="00206FD6">
        <w:rPr>
          <w:i/>
        </w:rPr>
        <w:t>Wong’s essentials of pediatric nursing</w:t>
      </w:r>
      <w:r w:rsidRPr="00206FD6">
        <w:t xml:space="preserve"> (11th ed.). St. Louis: Mosby Elsevier.</w:t>
      </w:r>
    </w:p>
    <w:p w14:paraId="21175AD0" w14:textId="5AB2467E" w:rsidR="00206FD6" w:rsidRPr="00206FD6" w:rsidRDefault="00206FD6" w:rsidP="00206FD6">
      <w:pPr>
        <w:pStyle w:val="NormalWeb"/>
      </w:pPr>
      <w:r w:rsidRPr="00206FD6">
        <w:t xml:space="preserve">Vallerand, A. H., &amp; Sanoski, C. A. (2021). </w:t>
      </w:r>
      <w:r w:rsidRPr="00206FD6">
        <w:rPr>
          <w:i/>
          <w:iCs/>
        </w:rPr>
        <w:t>Davis's drug guide for nurses</w:t>
      </w:r>
      <w:r w:rsidRPr="00206FD6">
        <w:t>. Philadelphia, PA: F.A. Davis Company.</w:t>
      </w:r>
    </w:p>
    <w:p w14:paraId="4EE1B6EB" w14:textId="44333175" w:rsidR="00206FD6" w:rsidRDefault="00206FD6" w:rsidP="00206FD6">
      <w:pPr>
        <w:pStyle w:val="NormalWeb"/>
      </w:pPr>
    </w:p>
    <w:p w14:paraId="7AFD3868" w14:textId="5F69E4FE" w:rsidR="00206FD6" w:rsidRDefault="00206FD6" w:rsidP="00206FD6">
      <w:pPr>
        <w:pStyle w:val="NormalWeb"/>
      </w:pPr>
    </w:p>
    <w:p w14:paraId="7C82BDCF" w14:textId="2EDD73A4" w:rsidR="00206FD6" w:rsidRDefault="00206FD6" w:rsidP="00206FD6">
      <w:pPr>
        <w:pStyle w:val="NormalWeb"/>
      </w:pPr>
      <w:r>
        <w:t>Citations:</w:t>
      </w:r>
    </w:p>
    <w:p w14:paraId="00AA1D7E" w14:textId="4B3F483E" w:rsidR="00206FD6" w:rsidRDefault="00206FD6" w:rsidP="00206FD6">
      <w:pPr>
        <w:pStyle w:val="NormalWeb"/>
      </w:pPr>
      <w:r w:rsidRPr="00B561FA">
        <w:t>(Wong et al., 2022)</w:t>
      </w:r>
      <w:r>
        <w:t xml:space="preserve">  </w:t>
      </w:r>
    </w:p>
    <w:p w14:paraId="4998460C" w14:textId="77777777" w:rsidR="00CF3E4C" w:rsidRDefault="00CF3E4C"/>
    <w:sectPr w:rsidR="00CF3E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FD6"/>
    <w:rsid w:val="00206FD6"/>
    <w:rsid w:val="00CF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1A998"/>
  <w15:chartTrackingRefBased/>
  <w15:docId w15:val="{5D55817E-8620-4036-85F9-1BAECFC1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6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jesus.carrasco_0409@yahoo.com</dc:creator>
  <cp:keywords/>
  <dc:description/>
  <cp:lastModifiedBy>jesus.carrasco_0409@yahoo.com</cp:lastModifiedBy>
  <cp:revision>1</cp:revision>
  <dcterms:created xsi:type="dcterms:W3CDTF">2021-05-12T01:17:00Z</dcterms:created>
  <dcterms:modified xsi:type="dcterms:W3CDTF">2021-05-12T01:20:00Z</dcterms:modified>
</cp:coreProperties>
</file>